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63" w:rsidRPr="009D5A47" w:rsidRDefault="00082F31" w:rsidP="00AF7263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AF7263" w:rsidRPr="009D5A47" w:rsidRDefault="00082F31" w:rsidP="00AF726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AF7263" w:rsidRPr="009D5A47" w:rsidRDefault="00082F31" w:rsidP="00AF726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Odbor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privredu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regionalni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>,</w:t>
      </w:r>
    </w:p>
    <w:p w:rsidR="00AF7263" w:rsidRPr="009D5A47" w:rsidRDefault="00082F31" w:rsidP="00AF726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trgovinu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turizam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</w:p>
    <w:p w:rsidR="00AF7263" w:rsidRPr="009D5A47" w:rsidRDefault="00AF7263" w:rsidP="00AF726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9D5A47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082F31">
        <w:rPr>
          <w:rFonts w:ascii="Times New Roman" w:hAnsi="Times New Roman"/>
          <w:sz w:val="24"/>
          <w:szCs w:val="24"/>
          <w:lang w:val="ru-RU"/>
        </w:rPr>
        <w:t>Broj</w:t>
      </w:r>
      <w:r w:rsidRPr="009D5A47">
        <w:rPr>
          <w:rFonts w:ascii="Times New Roman" w:hAnsi="Times New Roman"/>
          <w:sz w:val="24"/>
          <w:szCs w:val="24"/>
          <w:lang w:val="ru-RU"/>
        </w:rPr>
        <w:t xml:space="preserve"> 06-2/356-12</w:t>
      </w:r>
    </w:p>
    <w:p w:rsidR="00AF7263" w:rsidRPr="009D5A47" w:rsidRDefault="008C0689" w:rsidP="00AF726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28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082F31">
        <w:rPr>
          <w:rFonts w:ascii="Times New Roman" w:hAnsi="Times New Roman"/>
          <w:sz w:val="24"/>
          <w:szCs w:val="24"/>
          <w:lang w:val="sr-Cyrl-RS"/>
        </w:rPr>
        <w:t>januar</w:t>
      </w:r>
      <w:proofErr w:type="gramEnd"/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082F3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F7263" w:rsidRPr="009D5A47" w:rsidRDefault="00082F31" w:rsidP="00AF726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AF7263" w:rsidRPr="009D5A47" w:rsidRDefault="00AF7263" w:rsidP="00AF726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AF7263" w:rsidP="00AF726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AF7263" w:rsidP="00AF7263">
      <w:pPr>
        <w:tabs>
          <w:tab w:val="left" w:pos="1496"/>
          <w:tab w:val="center" w:pos="7106"/>
        </w:tabs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AF7263" w:rsidRPr="009D5A47" w:rsidRDefault="00082F31" w:rsidP="00AF7263">
      <w:pPr>
        <w:ind w:firstLine="0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Z</w:t>
      </w:r>
      <w:r w:rsidR="00AF7263"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AF7263"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AF7263"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7263"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AF7263"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AF7263"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7263"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</w:p>
    <w:p w:rsidR="00AF7263" w:rsidRPr="009D5A47" w:rsidRDefault="00AF7263" w:rsidP="00AF7263">
      <w:pPr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D5A47">
        <w:rPr>
          <w:rFonts w:ascii="Times New Roman" w:hAnsi="Times New Roman"/>
          <w:sz w:val="24"/>
          <w:szCs w:val="24"/>
          <w:lang w:val="sr-Cyrl-RS"/>
        </w:rPr>
        <w:t>10.</w:t>
      </w:r>
      <w:r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82F31">
        <w:rPr>
          <w:rFonts w:ascii="Times New Roman" w:hAnsi="Times New Roman"/>
          <w:sz w:val="24"/>
          <w:szCs w:val="24"/>
        </w:rPr>
        <w:t>SEDNICE</w:t>
      </w:r>
      <w:r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82F31">
        <w:rPr>
          <w:rFonts w:ascii="Times New Roman" w:hAnsi="Times New Roman"/>
          <w:sz w:val="24"/>
          <w:szCs w:val="24"/>
        </w:rPr>
        <w:t>ODBORA</w:t>
      </w:r>
      <w:r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82F31">
        <w:rPr>
          <w:rFonts w:ascii="Times New Roman" w:hAnsi="Times New Roman"/>
          <w:sz w:val="24"/>
          <w:szCs w:val="24"/>
        </w:rPr>
        <w:t>ZA</w:t>
      </w:r>
      <w:r w:rsidRPr="009D5A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PRIVREDU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REGIONALNI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RAZVOJ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TRGOVINU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TURIZAM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ENERGETIKU</w:t>
      </w:r>
      <w:r w:rsidRPr="009D5A47">
        <w:rPr>
          <w:rFonts w:ascii="Times New Roman" w:hAnsi="Times New Roman"/>
          <w:sz w:val="24"/>
          <w:szCs w:val="24"/>
          <w:lang w:val="sr-Cyrl-RS"/>
        </w:rPr>
        <w:t>,</w:t>
      </w:r>
    </w:p>
    <w:p w:rsidR="00AF7263" w:rsidRPr="009D5A47" w:rsidRDefault="00082F31" w:rsidP="00AF726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ODRŽANE</w:t>
      </w:r>
      <w:r w:rsidR="00AF7263" w:rsidRPr="009D5A47">
        <w:rPr>
          <w:rFonts w:ascii="Times New Roman" w:hAnsi="Times New Roman"/>
          <w:sz w:val="24"/>
          <w:szCs w:val="24"/>
        </w:rPr>
        <w:t xml:space="preserve"> </w:t>
      </w:r>
      <w:r w:rsidR="00AF7263" w:rsidRPr="009D5A47">
        <w:rPr>
          <w:rFonts w:ascii="Times New Roman" w:hAnsi="Times New Roman"/>
          <w:sz w:val="24"/>
          <w:szCs w:val="24"/>
          <w:lang w:val="ru-RU"/>
        </w:rPr>
        <w:t xml:space="preserve">24. </w:t>
      </w:r>
      <w:r>
        <w:rPr>
          <w:rFonts w:ascii="Times New Roman" w:hAnsi="Times New Roman"/>
          <w:sz w:val="24"/>
          <w:szCs w:val="24"/>
          <w:lang w:val="ru-RU"/>
        </w:rPr>
        <w:t>DECEMBRA</w:t>
      </w:r>
      <w:r w:rsidR="00AF7263" w:rsidRPr="009D5A47">
        <w:rPr>
          <w:rFonts w:ascii="Times New Roman" w:hAnsi="Times New Roman"/>
          <w:sz w:val="24"/>
          <w:szCs w:val="24"/>
          <w:lang w:val="ru-RU"/>
        </w:rPr>
        <w:t xml:space="preserve"> 2012</w:t>
      </w:r>
      <w:r w:rsidR="00AF7263" w:rsidRPr="009D5A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AF7263" w:rsidRPr="009D5A47" w:rsidRDefault="00AF7263" w:rsidP="00AF7263">
      <w:pPr>
        <w:ind w:firstLine="0"/>
        <w:rPr>
          <w:rFonts w:ascii="Times New Roman" w:hAnsi="Times New Roman"/>
          <w:sz w:val="24"/>
          <w:szCs w:val="24"/>
        </w:rPr>
      </w:pP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</w:rPr>
        <w:t>Sednica</w:t>
      </w:r>
      <w:r w:rsidRPr="009D5A47">
        <w:rPr>
          <w:rFonts w:ascii="Times New Roman" w:hAnsi="Times New Roman"/>
          <w:sz w:val="24"/>
          <w:szCs w:val="24"/>
        </w:rPr>
        <w:t xml:space="preserve"> </w:t>
      </w:r>
      <w:r w:rsidR="00082F31">
        <w:rPr>
          <w:rFonts w:ascii="Times New Roman" w:hAnsi="Times New Roman"/>
          <w:sz w:val="24"/>
          <w:szCs w:val="24"/>
        </w:rPr>
        <w:t>je</w:t>
      </w:r>
      <w:r w:rsidRPr="009D5A47">
        <w:rPr>
          <w:rFonts w:ascii="Times New Roman" w:hAnsi="Times New Roman"/>
          <w:sz w:val="24"/>
          <w:szCs w:val="24"/>
        </w:rPr>
        <w:t xml:space="preserve"> </w:t>
      </w:r>
      <w:r w:rsidR="00082F31">
        <w:rPr>
          <w:rFonts w:ascii="Times New Roman" w:hAnsi="Times New Roman"/>
          <w:sz w:val="24"/>
          <w:szCs w:val="24"/>
        </w:rPr>
        <w:t>počela</w:t>
      </w:r>
      <w:r w:rsidRPr="009D5A47">
        <w:rPr>
          <w:rFonts w:ascii="Times New Roman" w:hAnsi="Times New Roman"/>
          <w:sz w:val="24"/>
          <w:szCs w:val="24"/>
        </w:rPr>
        <w:t xml:space="preserve"> </w:t>
      </w:r>
      <w:r w:rsidR="00082F31">
        <w:rPr>
          <w:rFonts w:ascii="Times New Roman" w:hAnsi="Times New Roman"/>
          <w:sz w:val="24"/>
          <w:szCs w:val="24"/>
        </w:rPr>
        <w:t>u</w:t>
      </w:r>
      <w:r w:rsidRPr="009D5A47">
        <w:rPr>
          <w:rFonts w:ascii="Times New Roman" w:hAnsi="Times New Roman"/>
          <w:sz w:val="24"/>
          <w:szCs w:val="24"/>
        </w:rPr>
        <w:t xml:space="preserve"> </w:t>
      </w:r>
      <w:r w:rsidRPr="009D5A47">
        <w:rPr>
          <w:rFonts w:ascii="Times New Roman" w:hAnsi="Times New Roman"/>
          <w:sz w:val="24"/>
          <w:szCs w:val="24"/>
          <w:lang w:val="sr-Cyrl-RS"/>
        </w:rPr>
        <w:t>14</w:t>
      </w:r>
      <w:r w:rsidRPr="009D5A47">
        <w:rPr>
          <w:rFonts w:ascii="Times New Roman" w:hAnsi="Times New Roman"/>
          <w:sz w:val="24"/>
          <w:szCs w:val="24"/>
        </w:rPr>
        <w:t>,</w:t>
      </w:r>
      <w:r w:rsidRPr="009D5A47">
        <w:rPr>
          <w:rFonts w:ascii="Times New Roman" w:hAnsi="Times New Roman"/>
          <w:sz w:val="24"/>
          <w:szCs w:val="24"/>
          <w:lang w:val="sr-Cyrl-RS"/>
        </w:rPr>
        <w:t>05</w:t>
      </w:r>
      <w:r w:rsidRPr="009D5A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2F31">
        <w:rPr>
          <w:rFonts w:ascii="Times New Roman" w:hAnsi="Times New Roman"/>
          <w:sz w:val="24"/>
          <w:szCs w:val="24"/>
        </w:rPr>
        <w:t>časova</w:t>
      </w:r>
      <w:r w:rsidRPr="009D5A47">
        <w:rPr>
          <w:rFonts w:ascii="Times New Roman" w:hAnsi="Times New Roman"/>
          <w:sz w:val="24"/>
          <w:szCs w:val="24"/>
        </w:rPr>
        <w:t>.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Sednicom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predsedavala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Aleksandra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Tomić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predsednik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>.</w:t>
      </w:r>
    </w:p>
    <w:p w:rsidR="00AF7263" w:rsidRPr="009D5A47" w:rsidRDefault="00082F31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Pralica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Dragomir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Berić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Škundrić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Kenan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Hajdarević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>.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Sednici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prisustvovali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zamenici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članova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82F31">
        <w:rPr>
          <w:rFonts w:ascii="Times New Roman" w:hAnsi="Times New Roman"/>
          <w:sz w:val="24"/>
          <w:szCs w:val="24"/>
          <w:lang w:val="sr-Cyrl-RS"/>
        </w:rPr>
        <w:t>Bojana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Božanić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82F31">
        <w:rPr>
          <w:rFonts w:ascii="Times New Roman" w:hAnsi="Times New Roman"/>
          <w:sz w:val="24"/>
          <w:szCs w:val="24"/>
          <w:lang w:val="sr-Cyrl-RS"/>
        </w:rPr>
        <w:t>zamenik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člana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Nenada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Popovića</w:t>
      </w:r>
      <w:r w:rsidRPr="009D5A47">
        <w:rPr>
          <w:rFonts w:ascii="Times New Roman" w:hAnsi="Times New Roman"/>
          <w:sz w:val="24"/>
          <w:szCs w:val="24"/>
          <w:lang w:val="sr-Cyrl-RS"/>
        </w:rPr>
        <w:t>),</w:t>
      </w:r>
      <w:r w:rsidR="00FB61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Ivana</w:t>
      </w:r>
      <w:r w:rsidR="00FB61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Dinić</w:t>
      </w:r>
      <w:r w:rsidR="00FB61D5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82F31">
        <w:rPr>
          <w:rFonts w:ascii="Times New Roman" w:hAnsi="Times New Roman"/>
          <w:sz w:val="24"/>
          <w:szCs w:val="24"/>
          <w:lang w:val="sr-Cyrl-RS"/>
        </w:rPr>
        <w:t>zamenik</w:t>
      </w:r>
      <w:r w:rsidR="00FB61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člana</w:t>
      </w:r>
      <w:r w:rsidR="00FB61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="00FB61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Ivice</w:t>
      </w:r>
      <w:r w:rsidR="00FB61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Tončeva</w:t>
      </w:r>
      <w:r w:rsidR="00FB61D5">
        <w:rPr>
          <w:rFonts w:ascii="Times New Roman" w:hAnsi="Times New Roman"/>
          <w:sz w:val="24"/>
          <w:szCs w:val="24"/>
          <w:lang w:val="sr-Cyrl-RS"/>
        </w:rPr>
        <w:t>),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Dragana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Đuković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082F31">
        <w:rPr>
          <w:rFonts w:ascii="Times New Roman" w:hAnsi="Times New Roman"/>
          <w:sz w:val="24"/>
          <w:szCs w:val="24"/>
          <w:lang w:val="sr-Cyrl-RS"/>
        </w:rPr>
        <w:t>zamenik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člana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Vladimira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Ilića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Dejan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Rajčić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82F31">
        <w:rPr>
          <w:rFonts w:ascii="Times New Roman" w:hAnsi="Times New Roman"/>
          <w:sz w:val="24"/>
          <w:szCs w:val="24"/>
          <w:lang w:val="sr-Cyrl-RS"/>
        </w:rPr>
        <w:t>zamenik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člana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Velimira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Stanojevića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Sednici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nisu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prisustvovali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članovi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82F31">
        <w:rPr>
          <w:rFonts w:ascii="Times New Roman" w:hAnsi="Times New Roman"/>
          <w:sz w:val="24"/>
          <w:szCs w:val="24"/>
          <w:lang w:val="sr-Cyrl-RS"/>
        </w:rPr>
        <w:t>Dušan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Petrović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Boško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Ristić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Ivan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Jovanović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Ivica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Tončev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Nenad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Popović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Radojko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Obradović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Slavica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Velimir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Stanojević</w:t>
      </w:r>
      <w:r w:rsidRPr="009D5A47">
        <w:rPr>
          <w:rFonts w:ascii="Times New Roman" w:hAnsi="Times New Roman"/>
          <w:sz w:val="24"/>
          <w:szCs w:val="24"/>
          <w:lang w:val="sr-Cyrl-RS"/>
        </w:rPr>
        <w:t>.</w:t>
      </w:r>
    </w:p>
    <w:p w:rsidR="00AF7263" w:rsidRPr="009D5A47" w:rsidRDefault="00082F31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Sednici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poziv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predsednika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prisustvovali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82F31">
        <w:rPr>
          <w:rFonts w:ascii="Times New Roman" w:hAnsi="Times New Roman"/>
          <w:sz w:val="24"/>
          <w:szCs w:val="24"/>
          <w:lang w:val="sr-Cyrl-RS"/>
        </w:rPr>
        <w:t>Mirjana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Filipović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Dejan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Trifunović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pomoćnici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razvoja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zaštite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životne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sredine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Zoran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Ibrović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viši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savetnik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razvoja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zaštite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životne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sredine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predsednika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Odbor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većinom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glasova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utvrdio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sledeći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082F31" w:rsidP="00AF7263">
      <w:pPr>
        <w:tabs>
          <w:tab w:val="left" w:pos="1418"/>
        </w:tabs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AF7263" w:rsidRPr="009D5A47" w:rsidRDefault="00AF7263" w:rsidP="00AF7263">
      <w:pPr>
        <w:tabs>
          <w:tab w:val="left" w:pos="1418"/>
        </w:tabs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082F31">
        <w:rPr>
          <w:rFonts w:ascii="Times New Roman" w:hAnsi="Times New Roman"/>
          <w:sz w:val="24"/>
          <w:szCs w:val="24"/>
          <w:lang w:val="sr-Cyrl-RS"/>
        </w:rPr>
        <w:t>Razmatranje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Predloga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potvrđivanju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Sporazuma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između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Vlade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Republike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Srbije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Vlade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Republike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Italije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saradnji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oblasti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koji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podnela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Vlada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82F31">
        <w:rPr>
          <w:rFonts w:ascii="Times New Roman" w:hAnsi="Times New Roman"/>
          <w:sz w:val="24"/>
          <w:szCs w:val="24"/>
          <w:lang w:val="sr-Cyrl-RS"/>
        </w:rPr>
        <w:t>broj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312-3786/12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082F31">
        <w:rPr>
          <w:rFonts w:ascii="Times New Roman" w:hAnsi="Times New Roman"/>
          <w:sz w:val="24"/>
          <w:szCs w:val="24"/>
          <w:lang w:val="sr-Cyrl-RS"/>
        </w:rPr>
        <w:t>novembra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082F31">
        <w:rPr>
          <w:rFonts w:ascii="Times New Roman" w:hAnsi="Times New Roman"/>
          <w:sz w:val="24"/>
          <w:szCs w:val="24"/>
          <w:lang w:val="sr-Cyrl-RS"/>
        </w:rPr>
        <w:t>godine</w:t>
      </w:r>
      <w:r w:rsidRPr="009D5A47">
        <w:rPr>
          <w:rFonts w:ascii="Times New Roman" w:hAnsi="Times New Roman"/>
          <w:sz w:val="24"/>
          <w:szCs w:val="24"/>
          <w:lang w:val="sr-Cyrl-RS"/>
        </w:rPr>
        <w:t>);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082F31">
        <w:rPr>
          <w:rFonts w:ascii="Times New Roman" w:hAnsi="Times New Roman"/>
          <w:sz w:val="24"/>
          <w:szCs w:val="24"/>
          <w:lang w:val="sr-Cyrl-RS"/>
        </w:rPr>
        <w:t>Razmatranje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Predloga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izmenama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dopunama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koji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podnela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Vlada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82F31">
        <w:rPr>
          <w:rFonts w:ascii="Times New Roman" w:hAnsi="Times New Roman"/>
          <w:sz w:val="24"/>
          <w:szCs w:val="24"/>
          <w:lang w:val="sr-Cyrl-RS"/>
        </w:rPr>
        <w:t>broj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312-4363/12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082F31">
        <w:rPr>
          <w:rFonts w:ascii="Times New Roman" w:hAnsi="Times New Roman"/>
          <w:sz w:val="24"/>
          <w:szCs w:val="24"/>
          <w:lang w:val="sr-Cyrl-RS"/>
        </w:rPr>
        <w:t>decembra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082F31">
        <w:rPr>
          <w:rFonts w:ascii="Times New Roman" w:hAnsi="Times New Roman"/>
          <w:sz w:val="24"/>
          <w:szCs w:val="24"/>
          <w:lang w:val="sr-Cyrl-RS"/>
        </w:rPr>
        <w:t>godine</w:t>
      </w:r>
      <w:r w:rsidRPr="009D5A47">
        <w:rPr>
          <w:rFonts w:ascii="Times New Roman" w:hAnsi="Times New Roman"/>
          <w:sz w:val="24"/>
          <w:szCs w:val="24"/>
          <w:lang w:val="sr-Cyrl-RS"/>
        </w:rPr>
        <w:t>).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Prva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tačka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dnevnog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potvrđivanju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Sporazuma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između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Vlade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Vlade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Italije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saradnji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oblasti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energetike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Odbor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razmatrao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potvrđivanju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Sporazuma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između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Vlade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Republike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Srbije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Vlade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Republike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Italije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saradnji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oblasti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načelu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podneo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Izveštaj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Narodnoj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skupštini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uvodnim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napomenama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Mirjana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Filipović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pomoćnik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razvoja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zaštite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životne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sredine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rekla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sporazum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lastRenderedPageBreak/>
        <w:t>Aneksom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sastavnim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delom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Sporazuma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ratifikovan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082F31">
        <w:rPr>
          <w:rFonts w:ascii="Times New Roman" w:hAnsi="Times New Roman"/>
          <w:sz w:val="24"/>
          <w:szCs w:val="24"/>
          <w:lang w:val="sr-Cyrl-RS"/>
        </w:rPr>
        <w:t>oktobra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2011. </w:t>
      </w:r>
      <w:r w:rsidR="00082F31">
        <w:rPr>
          <w:rFonts w:ascii="Times New Roman" w:hAnsi="Times New Roman"/>
          <w:sz w:val="24"/>
          <w:szCs w:val="24"/>
          <w:lang w:val="sr-Cyrl-RS"/>
        </w:rPr>
        <w:t>godine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strane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Republike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Italije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naša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strana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treba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ratifikuje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istom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tekstu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Istakla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značaj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člana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082F31">
        <w:rPr>
          <w:rFonts w:ascii="Times New Roman" w:hAnsi="Times New Roman"/>
          <w:sz w:val="24"/>
          <w:szCs w:val="24"/>
          <w:lang w:val="sr-Cyrl-RS"/>
        </w:rPr>
        <w:t>Sporazuma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osnovu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koga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Republika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Italija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obavezuje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narednih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15 </w:t>
      </w:r>
      <w:r w:rsidR="00082F31">
        <w:rPr>
          <w:rFonts w:ascii="Times New Roman" w:hAnsi="Times New Roman"/>
          <w:sz w:val="24"/>
          <w:szCs w:val="24"/>
          <w:lang w:val="sr-Cyrl-RS"/>
        </w:rPr>
        <w:t>godina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vršiti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otkup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električne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garantovanoj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ceni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155 </w:t>
      </w:r>
      <w:r w:rsidR="00082F31">
        <w:rPr>
          <w:rFonts w:ascii="Times New Roman" w:hAnsi="Times New Roman"/>
          <w:sz w:val="24"/>
          <w:szCs w:val="24"/>
          <w:lang w:val="sr-Cyrl-RS"/>
        </w:rPr>
        <w:t>evra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megavat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času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diskusiji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narodni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poslanici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postavili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pitanja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izneli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stavove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mišljenja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predloge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vezi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Sporazuma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Postavljena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sledeća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pitanja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cena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megavat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času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fiskirana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sledećih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15 </w:t>
      </w:r>
      <w:r w:rsidR="00082F31">
        <w:rPr>
          <w:rFonts w:ascii="Times New Roman" w:hAnsi="Times New Roman"/>
          <w:sz w:val="24"/>
          <w:szCs w:val="24"/>
          <w:lang w:val="sr-Cyrl-RS"/>
        </w:rPr>
        <w:t>godina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odnosno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usklađivati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svake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godine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cenama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berzi</w:t>
      </w:r>
      <w:r w:rsidRPr="009D5A47">
        <w:rPr>
          <w:rFonts w:ascii="Times New Roman" w:hAnsi="Times New Roman"/>
          <w:sz w:val="24"/>
          <w:szCs w:val="24"/>
          <w:lang w:val="sr-Cyrl-RS"/>
        </w:rPr>
        <w:t>;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82F31">
        <w:rPr>
          <w:rFonts w:ascii="Times New Roman" w:hAnsi="Times New Roman"/>
          <w:sz w:val="24"/>
          <w:szCs w:val="24"/>
          <w:lang w:val="sr-Cyrl-RS"/>
        </w:rPr>
        <w:t>ukoliko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dođe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poremećaja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realizaciji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ugovora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hidroelektrana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postoji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mogućnost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umesto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druga</w:t>
      </w:r>
      <w:r w:rsidRPr="009D5A47">
        <w:rPr>
          <w:rFonts w:ascii="Times New Roman" w:hAnsi="Times New Roman"/>
          <w:sz w:val="24"/>
          <w:szCs w:val="24"/>
          <w:lang w:val="sr-Cyrl-RS"/>
        </w:rPr>
        <w:t>;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koliko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sredstava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učestvujemo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realizaciji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predviđenih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projekata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stalno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vlasnici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49%;</w:t>
      </w:r>
      <w:r w:rsidRPr="009D5A47">
        <w:rPr>
          <w:rFonts w:ascii="Times New Roman" w:hAnsi="Times New Roman"/>
          <w:sz w:val="24"/>
          <w:szCs w:val="24"/>
          <w:lang w:val="sr-Cyrl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ab/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ruske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firme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uključene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gasnih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termoelektrana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raspravi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istaknuto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sporazum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najvažnijih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regionalnih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projekata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odnosno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izuzetan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poduhvat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treba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podržati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predviđenih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osam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hidrocentrala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potrebno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skoro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milijarde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evra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ogroman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finansijski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impuls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ekonomski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razvoj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naše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države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Jedina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zemlja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uključujući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Republiku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Srpsku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delimično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Crnu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Goru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koja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članica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Evropske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unije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strateški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sporazum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proizvodnji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čiste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najpovoljnijim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mogućim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uslovima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Sporazum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garantuje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7,5 </w:t>
      </w:r>
      <w:r w:rsidR="00082F31">
        <w:rPr>
          <w:rFonts w:ascii="Times New Roman" w:hAnsi="Times New Roman"/>
          <w:sz w:val="24"/>
          <w:szCs w:val="24"/>
          <w:lang w:val="sr-Cyrl-RS"/>
        </w:rPr>
        <w:t>puta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veću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cenu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trenutne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proizvodne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cene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struje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hidroelektrana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Đerdapu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što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znači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imati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3,5 </w:t>
      </w:r>
      <w:r w:rsidR="00082F31">
        <w:rPr>
          <w:rFonts w:ascii="Times New Roman" w:hAnsi="Times New Roman"/>
          <w:sz w:val="24"/>
          <w:szCs w:val="24"/>
          <w:lang w:val="sr-Cyrl-RS"/>
        </w:rPr>
        <w:t>puta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prihode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bazi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49% </w:t>
      </w:r>
      <w:r w:rsidR="00082F31">
        <w:rPr>
          <w:rFonts w:ascii="Times New Roman" w:hAnsi="Times New Roman"/>
          <w:sz w:val="24"/>
          <w:szCs w:val="24"/>
          <w:lang w:val="sr-Cyrl-RS"/>
        </w:rPr>
        <w:t>svog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učešća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nego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imali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100% </w:t>
      </w:r>
      <w:r w:rsidR="00082F31">
        <w:rPr>
          <w:rFonts w:ascii="Times New Roman" w:hAnsi="Times New Roman"/>
          <w:sz w:val="24"/>
          <w:szCs w:val="24"/>
          <w:lang w:val="sr-Cyrl-RS"/>
        </w:rPr>
        <w:t>svoje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učešće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Realno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očekivati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narednih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deset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godina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ugovorena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proizvodna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cena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električne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povoljna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Italijanska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država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preuzela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troškove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prenosa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električne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Naša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država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raspolaže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dovoljno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sredstava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gradi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realizuje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predviđene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projekte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ekstra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cenama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naša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država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subvencioniše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isplativi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projekti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Prema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Sporazumu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postoji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mogućnost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raskine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ugovor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ukoliko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nepovoljan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našu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stranu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ukoliko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imali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dovoljno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čiste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stanovišta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evropskih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standarda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koristimo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svoje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potrebe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Elektroprivreda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Srbije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zajedno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italijanskom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kompanijom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treba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obezbedi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20% </w:t>
      </w:r>
      <w:r w:rsidR="00082F31">
        <w:rPr>
          <w:rFonts w:ascii="Times New Roman" w:hAnsi="Times New Roman"/>
          <w:sz w:val="24"/>
          <w:szCs w:val="24"/>
          <w:lang w:val="sr-Cyrl-RS"/>
        </w:rPr>
        <w:t>keš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sredstava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ostalo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najpovoljnijih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kreditnih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aranžmana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jer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reč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proizvodnji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čiste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Opterećenje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Elektroprivrede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Srbije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minimalno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stanovišta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realizacije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predviđenih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projekata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fizibiliti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studiji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uložena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sredstva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treba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isplate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pet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sedam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godina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ostanemo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49% </w:t>
      </w:r>
      <w:r w:rsidR="00082F31">
        <w:rPr>
          <w:rFonts w:ascii="Times New Roman" w:hAnsi="Times New Roman"/>
          <w:sz w:val="24"/>
          <w:szCs w:val="24"/>
          <w:lang w:val="sr-Cyrl-RS"/>
        </w:rPr>
        <w:t>vlasnici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Upozoreno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može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desiti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ako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uđemo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Evropsku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uniju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zbog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obaveza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sadašnjim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Evropske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unije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učešću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čiste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proizvodnji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moramo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plaćati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uvoz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400 </w:t>
      </w:r>
      <w:r w:rsidR="00082F31">
        <w:rPr>
          <w:rFonts w:ascii="Times New Roman" w:hAnsi="Times New Roman"/>
          <w:sz w:val="24"/>
          <w:szCs w:val="24"/>
          <w:lang w:val="sr-Cyrl-RS"/>
        </w:rPr>
        <w:t>evra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megavatu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Izneto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možda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bolje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bilo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obezbediti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povoljne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kredite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posebno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sami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realizujemo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projekte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ograničene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resurse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prodamo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strancima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Međutim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istaknuto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Kinom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pregovara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krupnih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investicija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termo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kapaciteta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Preko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NIS</w:t>
      </w:r>
      <w:r w:rsidRPr="009D5A47">
        <w:rPr>
          <w:rFonts w:ascii="Times New Roman" w:hAnsi="Times New Roman"/>
          <w:sz w:val="24"/>
          <w:szCs w:val="24"/>
          <w:lang w:val="sr-Cyrl-RS"/>
        </w:rPr>
        <w:t>-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uključen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većinski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partner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Gasporom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Njeft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moguću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realizaciju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TE</w:t>
      </w:r>
      <w:r w:rsidRPr="009D5A47">
        <w:rPr>
          <w:rFonts w:ascii="Times New Roman" w:hAnsi="Times New Roman"/>
          <w:sz w:val="24"/>
          <w:szCs w:val="24"/>
          <w:lang w:val="sr-Cyrl-RS"/>
        </w:rPr>
        <w:t>-</w:t>
      </w:r>
      <w:r w:rsidR="00082F31">
        <w:rPr>
          <w:rFonts w:ascii="Times New Roman" w:hAnsi="Times New Roman"/>
          <w:sz w:val="24"/>
          <w:szCs w:val="24"/>
          <w:lang w:val="sr-Cyrl-RS"/>
        </w:rPr>
        <w:t>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Novi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postoji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načelni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dogovor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kroz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Južnog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zajedno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gradimo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gasne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termoelektrane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uslovima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moraju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budu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povoljniji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eventualno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drugih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ponuđača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diskusiji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učestvovali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Petar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Škundrić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Dragomir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Karić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Zoran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Pralica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Miodrag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Nikolić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Nebojša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Berić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Mirjana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Filipović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082F31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Italije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AF7263">
        <w:rPr>
          <w:rFonts w:ascii="Times New Roman" w:hAnsi="Times New Roman"/>
          <w:sz w:val="24"/>
          <w:szCs w:val="24"/>
          <w:lang w:val="sr-Cyrl-RS"/>
        </w:rPr>
        <w:t>.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izvestioca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sednici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Narodne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skupštine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određena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Aleksandra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Tomić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predsednik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Druga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tačka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dnevnog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b/>
          <w:sz w:val="24"/>
          <w:szCs w:val="24"/>
          <w:lang w:val="sr-Cyrl-RS"/>
        </w:rPr>
        <w:t>energetici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Odbor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razmatrao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izmenama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dopunama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načelu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podneo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Izveštaj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Narodnoj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skupštini</w:t>
      </w:r>
      <w:r w:rsidRPr="009D5A47">
        <w:rPr>
          <w:rFonts w:ascii="Times New Roman" w:hAnsi="Times New Roman"/>
          <w:sz w:val="24"/>
          <w:szCs w:val="24"/>
          <w:lang w:val="sr-Cyrl-RS"/>
        </w:rPr>
        <w:t>.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uvodnim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napomenama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Dejan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Trifunović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pomoćnik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razvoja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zaštite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životne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sredine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istakao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izmenama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dobrim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delom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implementiran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paket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direktiva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Evropske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unije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izmene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odnose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pre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svega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uvođenje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obaveze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stručnog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osposobljavanja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rukovaoca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saglasnosti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racionalizaciju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proizvodnju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vetra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solarne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nepostojanje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retroaktivnosti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Predviđeno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ministar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propisuje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uslove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pogledu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stručne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osposobljenosti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rukovaoca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školama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bolnicama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fabrikama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drugim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izdalo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81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128 </w:t>
      </w:r>
      <w:r w:rsidR="00082F31">
        <w:rPr>
          <w:rFonts w:ascii="Times New Roman" w:hAnsi="Times New Roman"/>
          <w:sz w:val="24"/>
          <w:szCs w:val="24"/>
          <w:lang w:val="sr-Cyrl-RS"/>
        </w:rPr>
        <w:t>saglasnosti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mreži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34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čega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19 </w:t>
      </w:r>
      <w:r w:rsidR="00082F31">
        <w:rPr>
          <w:rFonts w:ascii="Times New Roman" w:hAnsi="Times New Roman"/>
          <w:sz w:val="24"/>
          <w:szCs w:val="24"/>
          <w:lang w:val="sr-Cyrl-RS"/>
        </w:rPr>
        <w:t>malih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hidroelektrana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Postoji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katastar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lokacija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nekoliko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stotina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mogućih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malih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hidroelektrana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postupku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donošenja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uredba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još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više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stimulisati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investiranje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male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hidroelektrane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Potencijal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malih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hidroelektrana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iznosi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500 </w:t>
      </w:r>
      <w:r w:rsidR="00082F31">
        <w:rPr>
          <w:rFonts w:ascii="Times New Roman" w:hAnsi="Times New Roman"/>
          <w:sz w:val="24"/>
          <w:szCs w:val="24"/>
          <w:lang w:val="sr-Cyrl-RS"/>
        </w:rPr>
        <w:t>megavata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oštriji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uslovi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izdavanje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iznad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megavata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saglasnosti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ispod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megavata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Saglasnost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izdaju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lokalnom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nivou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podignuta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nivo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upravnog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akta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njihovo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trajanje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oročeno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godine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Radi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dinamizacije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investiranja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uvedeni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kriterijumi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određene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mere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Objaviće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javni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poziv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dogovoru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opštinama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zemlji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inostranstvu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investiranje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nekoliko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stotina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lokacija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racionalizacija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investitorima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proizvođačima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solarne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vetra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pregovore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bankom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Umesto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plus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godina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solarnu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plus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godina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vetro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generatore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plus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godina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saglasnosti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izdate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stupanja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snagu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ostaju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snazi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isteka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izdate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s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što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pratiti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njihova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realizacija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diskusiji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narodni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poslanici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postavili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pitanja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izneli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predloge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stavove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mišljenja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vezi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Postavljena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sledeća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pitanja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uslovi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investiranje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posebno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vezi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uobičajeni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državama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članicama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Evropske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unije</w:t>
      </w:r>
      <w:r w:rsidRPr="009D5A47">
        <w:rPr>
          <w:rFonts w:ascii="Times New Roman" w:hAnsi="Times New Roman"/>
          <w:sz w:val="24"/>
          <w:szCs w:val="24"/>
          <w:lang w:val="sr-Cyrl-RS"/>
        </w:rPr>
        <w:t>;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moguće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proizvodnju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solarne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vetra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dobiju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status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privremenih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građevinskih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postojeća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elektromreža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može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primi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buduću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predviđenu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proizvodnju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električne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>;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lokalna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samouprava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dalje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davati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snagom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megavata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saglasnost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ubuduće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formi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upravnog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akta</w:t>
      </w:r>
      <w:r w:rsidRPr="009D5A47">
        <w:rPr>
          <w:rFonts w:ascii="Times New Roman" w:hAnsi="Times New Roman"/>
          <w:sz w:val="24"/>
          <w:szCs w:val="24"/>
          <w:lang w:val="sr-Cyrl-RS"/>
        </w:rPr>
        <w:t>;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javni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poziv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hidroelektrana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obuhvatiti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samo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lokacije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postojećeg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katastra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nalazi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sajtu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uključiti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lokacije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nisu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unete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katastar</w:t>
      </w:r>
      <w:r w:rsidRPr="009D5A47">
        <w:rPr>
          <w:rFonts w:ascii="Times New Roman" w:hAnsi="Times New Roman"/>
          <w:sz w:val="24"/>
          <w:szCs w:val="24"/>
          <w:lang w:val="sr-Cyrl-RS"/>
        </w:rPr>
        <w:t>;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lastRenderedPageBreak/>
        <w:tab/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nešto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promeniti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načinu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prijema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prenosnu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mrežu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odnosno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nekim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investitorima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dobijanje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dalje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uslovljavati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obavezom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trafo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stranicu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dalekovod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mrežu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raspravi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izražena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bojazan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možda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moći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ispoštuju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rokovi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investiranje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većih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treba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posle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dobijanja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građevinske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rok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bude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plus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godina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Međutim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izneto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predloženi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rokovi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dobri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Istaknuto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treba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voditi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računa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stečenim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pravima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investitora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priznati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postojeću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tarifu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s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mogu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koristiti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nove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tarife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ukoliko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povoljnije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Izneto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proizvodnju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solarne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vetra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trebalo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status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privremenih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građevinskih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jer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uštedelo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vreme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potrebno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izradu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planskog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dokumenta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posebno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imajući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vidu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lako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montiraju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demontiraju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Istaknuto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treba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skratiti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procedure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smanjiti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broj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potrebnih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dokumenta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dobijanje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građevinske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Izneto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najveći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indeks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osunčanosti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sunčevog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zračenja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krajnjem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jugu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Srbije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kvalitetnih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krovova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instalirali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solarni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paneli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trebalo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iskoristiti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ogromne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nenaseljene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površine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postavljanje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solarnih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panela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posebno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imajući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vidu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uglavnom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zemljište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šeste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sedme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osme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kategorije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Istaknuto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trebalo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razmotriti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način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poboljšati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uslove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neki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investitori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dobijaju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energetske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odnosno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uslovljavaju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infrastrukture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prijem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mrežu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elektrodistribucije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posebno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zabačenim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predelima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delovima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teško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napraviti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objekat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Povodom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diskusije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Dejan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Trifunović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pomoćnik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energetike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razvoja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zaštite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životne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sredine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rekao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nađena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prava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vezi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investiranje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izradi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sarađivali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međunarodna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finansijska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savetnika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Svi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rade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starim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tarifama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moći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pređu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roku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šest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meseci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nove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tarife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ako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smatraju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povoljnije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saradnji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drugim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ministarstvima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radi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tome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smanji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broj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potrebnih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dokumenata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pojednostave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procedure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posebno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hidrocentrala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javnom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pozivu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izgradnju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hidroelektrana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biće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obuhvaćene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nove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lokacije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koje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nisu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katastru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objekte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snagom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jednog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megavata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dozvole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će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izdavati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lokalne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samouprave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saglasnosti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ministarstvo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82F31">
        <w:rPr>
          <w:rFonts w:ascii="Times New Roman" w:hAnsi="Times New Roman"/>
          <w:sz w:val="24"/>
          <w:szCs w:val="24"/>
          <w:lang w:val="sr-Cyrl-RS"/>
        </w:rPr>
        <w:t>Radi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proširenju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kapaciteta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prenosne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mreže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svim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pravcima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jedan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pravaca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jug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Srbije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diskusiji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učestvovali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Dragomir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Karić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Petar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Škundrić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Dejan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Rajčić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Bojana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Božanić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Miodrag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Nikolić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Dejan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Trifunović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Odbor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skladu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članom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082F31">
        <w:rPr>
          <w:rFonts w:ascii="Times New Roman" w:hAnsi="Times New Roman"/>
          <w:sz w:val="24"/>
          <w:szCs w:val="24"/>
          <w:lang w:val="sr-Cyrl-RS"/>
        </w:rPr>
        <w:t>stav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082F31">
        <w:rPr>
          <w:rFonts w:ascii="Times New Roman" w:hAnsi="Times New Roman"/>
          <w:sz w:val="24"/>
          <w:szCs w:val="24"/>
          <w:lang w:val="sr-Cyrl-RS"/>
        </w:rPr>
        <w:t>Poslovnika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Narodne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skupštine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odlučio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većinom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glasova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predloži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Narodnoj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skupštini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prihvati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Predlog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izmenama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dopunama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Zakona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energetici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načelu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Za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izvestioca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sednici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Narodne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skupštine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određena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Aleksandra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Tomić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F31">
        <w:rPr>
          <w:rFonts w:ascii="Times New Roman" w:hAnsi="Times New Roman"/>
          <w:sz w:val="24"/>
          <w:szCs w:val="24"/>
          <w:lang w:val="sr-Cyrl-RS"/>
        </w:rPr>
        <w:t>predsednik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Sednica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je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zaključena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u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15,10 </w:t>
      </w:r>
      <w:r w:rsidR="00082F31">
        <w:rPr>
          <w:rFonts w:ascii="Times New Roman" w:hAnsi="Times New Roman"/>
          <w:sz w:val="24"/>
          <w:szCs w:val="24"/>
          <w:lang w:val="sr-Cyrl-RS"/>
        </w:rPr>
        <w:t>časova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Pr="00F0574D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Latn-RS"/>
        </w:rPr>
      </w:pPr>
    </w:p>
    <w:p w:rsidR="00AF7263" w:rsidRPr="009D5A47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 w:rsidR="00082F31">
        <w:rPr>
          <w:rFonts w:ascii="Times New Roman" w:hAnsi="Times New Roman"/>
          <w:sz w:val="24"/>
          <w:szCs w:val="24"/>
          <w:lang w:val="sr-Cyrl-RS"/>
        </w:rPr>
        <w:t>Sastavni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deo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ovog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zapisnika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čini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obrađeni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tonski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snimak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sednice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F31">
        <w:rPr>
          <w:rFonts w:ascii="Times New Roman" w:hAnsi="Times New Roman"/>
          <w:sz w:val="24"/>
          <w:szCs w:val="24"/>
          <w:lang w:val="sr-Cyrl-RS"/>
        </w:rPr>
        <w:t>Odbora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F7263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Latn-RS"/>
        </w:rPr>
      </w:pPr>
    </w:p>
    <w:p w:rsidR="00AF7263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Latn-RS"/>
        </w:rPr>
      </w:pPr>
    </w:p>
    <w:p w:rsidR="00AF7263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Latn-RS"/>
        </w:rPr>
      </w:pPr>
    </w:p>
    <w:p w:rsidR="00AF7263" w:rsidRPr="00481D2D" w:rsidRDefault="00AF7263" w:rsidP="00AF7263">
      <w:pPr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sr-Latn-RS"/>
        </w:rPr>
      </w:pPr>
    </w:p>
    <w:p w:rsidR="00AF7263" w:rsidRPr="00A16F48" w:rsidRDefault="00082F31" w:rsidP="00AF7263">
      <w:pPr>
        <w:tabs>
          <w:tab w:val="left" w:pos="1418"/>
          <w:tab w:val="center" w:pos="6237"/>
          <w:tab w:val="center" w:pos="6521"/>
        </w:tabs>
        <w:ind w:firstLine="0"/>
        <w:jc w:val="left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AF7263">
        <w:rPr>
          <w:rFonts w:ascii="Times New Roman" w:hAnsi="Times New Roman"/>
          <w:sz w:val="24"/>
          <w:szCs w:val="24"/>
          <w:lang w:val="sr-Latn-RS"/>
        </w:rPr>
        <w:tab/>
      </w:r>
      <w:r w:rsidR="00AF7263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AF7263" w:rsidRPr="009D5A47" w:rsidRDefault="00AF7263" w:rsidP="00AF7263">
      <w:pPr>
        <w:tabs>
          <w:tab w:val="left" w:pos="1418"/>
        </w:tabs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F7263" w:rsidRPr="009D5A47" w:rsidRDefault="00082F31" w:rsidP="00AF7263">
      <w:pPr>
        <w:tabs>
          <w:tab w:val="left" w:pos="1418"/>
          <w:tab w:val="center" w:pos="6237"/>
          <w:tab w:val="center" w:pos="6521"/>
        </w:tabs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AF7263">
        <w:rPr>
          <w:rFonts w:ascii="Times New Roman" w:hAnsi="Times New Roman"/>
          <w:sz w:val="24"/>
          <w:szCs w:val="24"/>
          <w:lang w:val="sr-Latn-RS"/>
        </w:rPr>
        <w:tab/>
      </w:r>
      <w:r w:rsidR="00AF7263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F7263" w:rsidRPr="009D5A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</w:p>
    <w:p w:rsidR="00031CD2" w:rsidRDefault="00031CD2"/>
    <w:sectPr w:rsidR="00031CD2" w:rsidSect="00490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24" w:rsidRDefault="00F17D24" w:rsidP="00490DF4">
      <w:r>
        <w:separator/>
      </w:r>
    </w:p>
  </w:endnote>
  <w:endnote w:type="continuationSeparator" w:id="0">
    <w:p w:rsidR="00F17D24" w:rsidRDefault="00F17D24" w:rsidP="0049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F4" w:rsidRDefault="00490D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F4" w:rsidRDefault="00490D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F4" w:rsidRDefault="00490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24" w:rsidRDefault="00F17D24" w:rsidP="00490DF4">
      <w:r>
        <w:separator/>
      </w:r>
    </w:p>
  </w:footnote>
  <w:footnote w:type="continuationSeparator" w:id="0">
    <w:p w:rsidR="00F17D24" w:rsidRDefault="00F17D24" w:rsidP="0049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F4" w:rsidRDefault="00490DF4" w:rsidP="00B629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DF4" w:rsidRDefault="00490D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F4" w:rsidRDefault="00490DF4" w:rsidP="00B629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F31">
      <w:rPr>
        <w:rStyle w:val="PageNumber"/>
        <w:noProof/>
      </w:rPr>
      <w:t>5</w:t>
    </w:r>
    <w:r>
      <w:rPr>
        <w:rStyle w:val="PageNumber"/>
      </w:rPr>
      <w:fldChar w:fldCharType="end"/>
    </w:r>
  </w:p>
  <w:p w:rsidR="00490DF4" w:rsidRDefault="00490D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F4" w:rsidRDefault="00490D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63"/>
    <w:rsid w:val="000171DD"/>
    <w:rsid w:val="000203F8"/>
    <w:rsid w:val="000222C2"/>
    <w:rsid w:val="000244E1"/>
    <w:rsid w:val="00024A42"/>
    <w:rsid w:val="00025631"/>
    <w:rsid w:val="00026038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2F31"/>
    <w:rsid w:val="000850F0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37C7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C56E6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DF4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2DB0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6FAA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02D9"/>
    <w:rsid w:val="008C0689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AF7263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17D24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B61D5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63"/>
    <w:pPr>
      <w:ind w:firstLine="1440"/>
      <w:jc w:val="both"/>
    </w:pPr>
    <w:rPr>
      <w:rFonts w:ascii="Arial" w:hAnsi="Arial"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F4"/>
    <w:rPr>
      <w:rFonts w:ascii="Arial" w:hAnsi="Arial"/>
      <w:sz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9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F4"/>
    <w:rPr>
      <w:rFonts w:ascii="Arial" w:hAnsi="Arial"/>
      <w:sz w:val="22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490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63"/>
    <w:pPr>
      <w:ind w:firstLine="1440"/>
      <w:jc w:val="both"/>
    </w:pPr>
    <w:rPr>
      <w:rFonts w:ascii="Arial" w:hAnsi="Arial"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F4"/>
    <w:rPr>
      <w:rFonts w:ascii="Arial" w:hAnsi="Arial"/>
      <w:sz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9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F4"/>
    <w:rPr>
      <w:rFonts w:ascii="Arial" w:hAnsi="Arial"/>
      <w:sz w:val="22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49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</dc:creator>
  <cp:lastModifiedBy>Sandra Stanković</cp:lastModifiedBy>
  <cp:revision>5</cp:revision>
  <dcterms:created xsi:type="dcterms:W3CDTF">2013-01-24T11:19:00Z</dcterms:created>
  <dcterms:modified xsi:type="dcterms:W3CDTF">2013-02-12T15:10:00Z</dcterms:modified>
</cp:coreProperties>
</file>